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183" w:rsidRPr="00346183" w:rsidRDefault="00346183" w:rsidP="00346183">
      <w:pPr>
        <w:spacing w:line="480" w:lineRule="auto"/>
        <w:rPr>
          <w:rFonts w:ascii="Times New Roman" w:hAnsi="Times New Roman" w:cs="Times New Roman"/>
          <w:sz w:val="24"/>
          <w:szCs w:val="24"/>
        </w:rPr>
      </w:pPr>
    </w:p>
    <w:p w:rsidR="00346183" w:rsidRPr="00346183" w:rsidRDefault="00346183" w:rsidP="00346183">
      <w:pPr>
        <w:spacing w:line="480" w:lineRule="auto"/>
        <w:rPr>
          <w:rFonts w:ascii="Times New Roman" w:hAnsi="Times New Roman" w:cs="Times New Roman"/>
          <w:sz w:val="24"/>
          <w:szCs w:val="24"/>
        </w:rPr>
      </w:pPr>
    </w:p>
    <w:p w:rsidR="00346183" w:rsidRPr="00346183" w:rsidRDefault="00346183" w:rsidP="00346183">
      <w:pPr>
        <w:spacing w:line="480" w:lineRule="auto"/>
        <w:rPr>
          <w:rFonts w:ascii="Times New Roman" w:hAnsi="Times New Roman" w:cs="Times New Roman"/>
          <w:sz w:val="24"/>
          <w:szCs w:val="24"/>
        </w:rPr>
      </w:pPr>
    </w:p>
    <w:p w:rsidR="00346183" w:rsidRPr="00346183" w:rsidRDefault="00346183" w:rsidP="00346183">
      <w:pPr>
        <w:spacing w:line="480" w:lineRule="auto"/>
        <w:rPr>
          <w:rFonts w:ascii="Times New Roman" w:hAnsi="Times New Roman" w:cs="Times New Roman"/>
          <w:sz w:val="24"/>
          <w:szCs w:val="24"/>
        </w:rPr>
      </w:pPr>
    </w:p>
    <w:p w:rsidR="00346183" w:rsidRDefault="00346183" w:rsidP="00346183">
      <w:pPr>
        <w:spacing w:line="480" w:lineRule="auto"/>
        <w:jc w:val="center"/>
        <w:rPr>
          <w:rFonts w:ascii="Times New Roman" w:hAnsi="Times New Roman" w:cs="Times New Roman"/>
          <w:b/>
          <w:sz w:val="24"/>
          <w:szCs w:val="24"/>
        </w:rPr>
      </w:pPr>
    </w:p>
    <w:p w:rsidR="00346183" w:rsidRDefault="00346183" w:rsidP="00346183">
      <w:pPr>
        <w:spacing w:line="480" w:lineRule="auto"/>
        <w:jc w:val="center"/>
        <w:rPr>
          <w:rFonts w:ascii="Times New Roman" w:hAnsi="Times New Roman" w:cs="Times New Roman"/>
          <w:b/>
          <w:sz w:val="24"/>
          <w:szCs w:val="24"/>
        </w:rPr>
      </w:pPr>
    </w:p>
    <w:p w:rsidR="00346183" w:rsidRPr="00346183" w:rsidRDefault="00346183" w:rsidP="00346183">
      <w:pPr>
        <w:spacing w:line="480" w:lineRule="auto"/>
        <w:jc w:val="center"/>
        <w:rPr>
          <w:rFonts w:ascii="Times New Roman" w:hAnsi="Times New Roman" w:cs="Times New Roman"/>
          <w:b/>
          <w:sz w:val="24"/>
          <w:szCs w:val="24"/>
        </w:rPr>
      </w:pPr>
      <w:r w:rsidRPr="00346183">
        <w:rPr>
          <w:rFonts w:ascii="Times New Roman" w:hAnsi="Times New Roman" w:cs="Times New Roman"/>
          <w:b/>
          <w:sz w:val="24"/>
          <w:szCs w:val="24"/>
        </w:rPr>
        <w:t>Pals</w:t>
      </w:r>
      <w:r>
        <w:rPr>
          <w:rFonts w:ascii="Times New Roman" w:hAnsi="Times New Roman" w:cs="Times New Roman"/>
          <w:b/>
          <w:sz w:val="24"/>
          <w:szCs w:val="24"/>
        </w:rPr>
        <w:t>graf v. Long Island Railroad Co</w:t>
      </w:r>
    </w:p>
    <w:p w:rsidR="00346183" w:rsidRPr="00346183" w:rsidRDefault="00346183" w:rsidP="00346183">
      <w:pPr>
        <w:spacing w:line="480" w:lineRule="auto"/>
        <w:jc w:val="center"/>
        <w:rPr>
          <w:rFonts w:ascii="Times New Roman" w:hAnsi="Times New Roman" w:cs="Times New Roman"/>
          <w:sz w:val="24"/>
          <w:szCs w:val="24"/>
        </w:rPr>
      </w:pPr>
      <w:r w:rsidRPr="00346183">
        <w:rPr>
          <w:rFonts w:ascii="Times New Roman" w:hAnsi="Times New Roman" w:cs="Times New Roman"/>
          <w:sz w:val="24"/>
          <w:szCs w:val="24"/>
        </w:rPr>
        <w:t>Name</w:t>
      </w:r>
    </w:p>
    <w:p w:rsidR="00346183" w:rsidRPr="00346183" w:rsidRDefault="00346183" w:rsidP="00346183">
      <w:pPr>
        <w:spacing w:line="480" w:lineRule="auto"/>
        <w:jc w:val="center"/>
        <w:rPr>
          <w:rFonts w:ascii="Times New Roman" w:hAnsi="Times New Roman" w:cs="Times New Roman"/>
          <w:sz w:val="24"/>
          <w:szCs w:val="24"/>
        </w:rPr>
      </w:pPr>
      <w:r w:rsidRPr="00346183">
        <w:rPr>
          <w:rFonts w:ascii="Times New Roman" w:hAnsi="Times New Roman" w:cs="Times New Roman"/>
          <w:sz w:val="24"/>
          <w:szCs w:val="24"/>
        </w:rPr>
        <w:t>Institution</w:t>
      </w:r>
    </w:p>
    <w:p w:rsidR="00346183" w:rsidRPr="00346183" w:rsidRDefault="00346183" w:rsidP="00346183">
      <w:pPr>
        <w:spacing w:line="480" w:lineRule="auto"/>
        <w:jc w:val="center"/>
        <w:rPr>
          <w:rFonts w:ascii="Times New Roman" w:hAnsi="Times New Roman" w:cs="Times New Roman"/>
          <w:sz w:val="24"/>
          <w:szCs w:val="24"/>
        </w:rPr>
      </w:pPr>
      <w:r w:rsidRPr="00346183">
        <w:rPr>
          <w:rFonts w:ascii="Times New Roman" w:hAnsi="Times New Roman" w:cs="Times New Roman"/>
          <w:sz w:val="24"/>
          <w:szCs w:val="24"/>
        </w:rPr>
        <w:t>Date</w:t>
      </w:r>
    </w:p>
    <w:p w:rsidR="00346183" w:rsidRPr="00346183" w:rsidRDefault="00346183" w:rsidP="00346183">
      <w:pPr>
        <w:spacing w:line="480" w:lineRule="auto"/>
        <w:rPr>
          <w:rFonts w:ascii="Times New Roman" w:hAnsi="Times New Roman" w:cs="Times New Roman"/>
          <w:sz w:val="24"/>
          <w:szCs w:val="24"/>
        </w:rPr>
      </w:pPr>
    </w:p>
    <w:p w:rsidR="00346183" w:rsidRPr="00346183" w:rsidRDefault="00346183" w:rsidP="00346183">
      <w:pPr>
        <w:spacing w:line="480" w:lineRule="auto"/>
        <w:rPr>
          <w:rFonts w:ascii="Times New Roman" w:hAnsi="Times New Roman" w:cs="Times New Roman"/>
          <w:sz w:val="24"/>
          <w:szCs w:val="24"/>
        </w:rPr>
      </w:pPr>
    </w:p>
    <w:p w:rsidR="00346183" w:rsidRPr="00346183" w:rsidRDefault="00346183" w:rsidP="00346183">
      <w:pPr>
        <w:spacing w:line="480" w:lineRule="auto"/>
        <w:rPr>
          <w:rFonts w:ascii="Times New Roman" w:hAnsi="Times New Roman" w:cs="Times New Roman"/>
          <w:sz w:val="24"/>
          <w:szCs w:val="24"/>
        </w:rPr>
      </w:pPr>
    </w:p>
    <w:p w:rsidR="00346183" w:rsidRDefault="00346183" w:rsidP="00346183">
      <w:pPr>
        <w:spacing w:line="480" w:lineRule="auto"/>
        <w:rPr>
          <w:rFonts w:ascii="Times New Roman" w:hAnsi="Times New Roman" w:cs="Times New Roman"/>
          <w:sz w:val="24"/>
          <w:szCs w:val="24"/>
        </w:rPr>
      </w:pPr>
    </w:p>
    <w:p w:rsidR="00346183" w:rsidRDefault="00346183" w:rsidP="00346183">
      <w:pPr>
        <w:spacing w:line="480" w:lineRule="auto"/>
        <w:rPr>
          <w:rFonts w:ascii="Times New Roman" w:hAnsi="Times New Roman" w:cs="Times New Roman"/>
          <w:sz w:val="24"/>
          <w:szCs w:val="24"/>
        </w:rPr>
      </w:pPr>
    </w:p>
    <w:p w:rsidR="00346183" w:rsidRDefault="00346183" w:rsidP="00346183">
      <w:pPr>
        <w:spacing w:line="480" w:lineRule="auto"/>
        <w:rPr>
          <w:rFonts w:ascii="Times New Roman" w:hAnsi="Times New Roman" w:cs="Times New Roman"/>
          <w:sz w:val="24"/>
          <w:szCs w:val="24"/>
        </w:rPr>
      </w:pPr>
    </w:p>
    <w:p w:rsidR="00346183" w:rsidRDefault="00346183" w:rsidP="00346183">
      <w:pPr>
        <w:spacing w:line="480" w:lineRule="auto"/>
        <w:rPr>
          <w:rFonts w:ascii="Times New Roman" w:hAnsi="Times New Roman" w:cs="Times New Roman"/>
          <w:sz w:val="24"/>
          <w:szCs w:val="24"/>
        </w:rPr>
      </w:pPr>
    </w:p>
    <w:p w:rsidR="00353733" w:rsidRPr="00346183" w:rsidRDefault="00353733" w:rsidP="00346183">
      <w:pPr>
        <w:spacing w:line="480" w:lineRule="auto"/>
        <w:jc w:val="center"/>
        <w:rPr>
          <w:rFonts w:ascii="Times New Roman" w:hAnsi="Times New Roman" w:cs="Times New Roman"/>
          <w:b/>
          <w:sz w:val="24"/>
          <w:szCs w:val="24"/>
        </w:rPr>
      </w:pPr>
      <w:r w:rsidRPr="00346183">
        <w:rPr>
          <w:rFonts w:ascii="Times New Roman" w:hAnsi="Times New Roman" w:cs="Times New Roman"/>
          <w:b/>
          <w:sz w:val="24"/>
          <w:szCs w:val="24"/>
        </w:rPr>
        <w:lastRenderedPageBreak/>
        <w:t>Pals</w:t>
      </w:r>
      <w:r w:rsidR="00346183" w:rsidRPr="00346183">
        <w:rPr>
          <w:rFonts w:ascii="Times New Roman" w:hAnsi="Times New Roman" w:cs="Times New Roman"/>
          <w:b/>
          <w:sz w:val="24"/>
          <w:szCs w:val="24"/>
        </w:rPr>
        <w:t>graf v. Long Island Railroad Co</w:t>
      </w:r>
    </w:p>
    <w:p w:rsidR="00353733" w:rsidRPr="00346183" w:rsidRDefault="00353733" w:rsidP="00346183">
      <w:pPr>
        <w:spacing w:line="480" w:lineRule="auto"/>
        <w:jc w:val="center"/>
        <w:rPr>
          <w:rFonts w:ascii="Times New Roman" w:hAnsi="Times New Roman" w:cs="Times New Roman"/>
          <w:b/>
          <w:sz w:val="24"/>
          <w:szCs w:val="24"/>
        </w:rPr>
      </w:pPr>
      <w:r w:rsidRPr="00346183">
        <w:rPr>
          <w:rFonts w:ascii="Times New Roman" w:hAnsi="Times New Roman" w:cs="Times New Roman"/>
          <w:b/>
          <w:sz w:val="24"/>
          <w:szCs w:val="24"/>
        </w:rPr>
        <w:t>Citation</w:t>
      </w:r>
    </w:p>
    <w:p w:rsidR="00353733" w:rsidRPr="00346183" w:rsidRDefault="00353733" w:rsidP="00346183">
      <w:pPr>
        <w:spacing w:line="480" w:lineRule="auto"/>
        <w:rPr>
          <w:rFonts w:ascii="Times New Roman" w:hAnsi="Times New Roman" w:cs="Times New Roman"/>
          <w:sz w:val="24"/>
          <w:szCs w:val="24"/>
        </w:rPr>
      </w:pPr>
      <w:r w:rsidRPr="00346183">
        <w:rPr>
          <w:rFonts w:ascii="Times New Roman" w:hAnsi="Times New Roman" w:cs="Times New Roman"/>
          <w:sz w:val="24"/>
          <w:szCs w:val="24"/>
        </w:rPr>
        <w:t>Name of the case: Palsgraf v. Long Island Railroad Co.</w:t>
      </w:r>
    </w:p>
    <w:p w:rsidR="00353733" w:rsidRPr="00346183" w:rsidRDefault="00353733" w:rsidP="00346183">
      <w:pPr>
        <w:spacing w:line="480" w:lineRule="auto"/>
        <w:rPr>
          <w:rFonts w:ascii="Times New Roman" w:hAnsi="Times New Roman" w:cs="Times New Roman"/>
          <w:sz w:val="24"/>
          <w:szCs w:val="24"/>
        </w:rPr>
      </w:pPr>
      <w:r w:rsidRPr="00346183">
        <w:rPr>
          <w:rFonts w:ascii="Times New Roman" w:hAnsi="Times New Roman" w:cs="Times New Roman"/>
          <w:sz w:val="24"/>
          <w:szCs w:val="24"/>
        </w:rPr>
        <w:t xml:space="preserve">The Court that heard the case: New York Court of Appeals </w:t>
      </w:r>
    </w:p>
    <w:p w:rsidR="00353733" w:rsidRPr="00346183" w:rsidRDefault="00353733" w:rsidP="00346183">
      <w:pPr>
        <w:spacing w:line="480" w:lineRule="auto"/>
        <w:rPr>
          <w:rFonts w:ascii="Times New Roman" w:hAnsi="Times New Roman" w:cs="Times New Roman"/>
          <w:sz w:val="24"/>
          <w:szCs w:val="24"/>
        </w:rPr>
      </w:pPr>
      <w:r w:rsidRPr="00346183">
        <w:rPr>
          <w:rFonts w:ascii="Times New Roman" w:hAnsi="Times New Roman" w:cs="Times New Roman"/>
          <w:sz w:val="24"/>
          <w:szCs w:val="24"/>
        </w:rPr>
        <w:t xml:space="preserve">Date when Court was decided: May 29, 1928 </w:t>
      </w:r>
    </w:p>
    <w:p w:rsidR="00353733" w:rsidRPr="00346183" w:rsidRDefault="00353733" w:rsidP="00346183">
      <w:pPr>
        <w:spacing w:line="480" w:lineRule="auto"/>
        <w:rPr>
          <w:rFonts w:ascii="Times New Roman" w:hAnsi="Times New Roman" w:cs="Times New Roman"/>
          <w:sz w:val="24"/>
          <w:szCs w:val="24"/>
        </w:rPr>
      </w:pPr>
      <w:r w:rsidRPr="00346183">
        <w:rPr>
          <w:rFonts w:ascii="Times New Roman" w:hAnsi="Times New Roman" w:cs="Times New Roman"/>
          <w:sz w:val="24"/>
          <w:szCs w:val="24"/>
        </w:rPr>
        <w:t xml:space="preserve">Reporter: 239 U.S 339 (1928) </w:t>
      </w:r>
    </w:p>
    <w:p w:rsidR="00353733" w:rsidRPr="00346183" w:rsidRDefault="00353733" w:rsidP="00346183">
      <w:pPr>
        <w:spacing w:line="480" w:lineRule="auto"/>
        <w:jc w:val="center"/>
        <w:rPr>
          <w:rFonts w:ascii="Times New Roman" w:hAnsi="Times New Roman" w:cs="Times New Roman"/>
          <w:b/>
          <w:sz w:val="24"/>
          <w:szCs w:val="24"/>
        </w:rPr>
      </w:pPr>
      <w:r w:rsidRPr="00346183">
        <w:rPr>
          <w:rFonts w:ascii="Times New Roman" w:hAnsi="Times New Roman" w:cs="Times New Roman"/>
          <w:b/>
          <w:sz w:val="24"/>
          <w:szCs w:val="24"/>
        </w:rPr>
        <w:t>Facts</w:t>
      </w:r>
    </w:p>
    <w:p w:rsidR="00353733" w:rsidRPr="00346183" w:rsidRDefault="00353733" w:rsidP="00346183">
      <w:pPr>
        <w:spacing w:line="480" w:lineRule="auto"/>
        <w:rPr>
          <w:rFonts w:ascii="Times New Roman" w:hAnsi="Times New Roman" w:cs="Times New Roman"/>
          <w:sz w:val="24"/>
          <w:szCs w:val="24"/>
        </w:rPr>
      </w:pPr>
      <w:r w:rsidRPr="00346183">
        <w:rPr>
          <w:rFonts w:ascii="Times New Roman" w:hAnsi="Times New Roman" w:cs="Times New Roman"/>
          <w:sz w:val="24"/>
          <w:szCs w:val="24"/>
        </w:rPr>
        <w:t xml:space="preserve">In the case of </w:t>
      </w:r>
      <w:r w:rsidRPr="00346183">
        <w:rPr>
          <w:rFonts w:ascii="Times New Roman" w:hAnsi="Times New Roman" w:cs="Times New Roman"/>
          <w:i/>
          <w:sz w:val="24"/>
          <w:szCs w:val="24"/>
        </w:rPr>
        <w:t>Palsgraf v. Long Island Railroad Co</w:t>
      </w:r>
      <w:r w:rsidRPr="00346183">
        <w:rPr>
          <w:rFonts w:ascii="Times New Roman" w:hAnsi="Times New Roman" w:cs="Times New Roman"/>
          <w:sz w:val="24"/>
          <w:szCs w:val="24"/>
        </w:rPr>
        <w:t>., Helen Palsgraf, the plaintiff, was standing on Long Island Railroad Co. platform buying a transport ticket. As Helen stood within the platform, a man jumped from a car and boarded a moving train</w:t>
      </w:r>
      <w:r w:rsidR="009F2B36" w:rsidRPr="00346183">
        <w:rPr>
          <w:rFonts w:ascii="Times New Roman" w:hAnsi="Times New Roman" w:cs="Times New Roman"/>
          <w:sz w:val="24"/>
          <w:szCs w:val="24"/>
        </w:rPr>
        <w:t xml:space="preserve"> (</w:t>
      </w:r>
      <w:r w:rsidR="009F2B36" w:rsidRPr="009F2B36">
        <w:rPr>
          <w:rFonts w:ascii="Times New Roman" w:eastAsia="Times New Roman" w:hAnsi="Times New Roman" w:cs="Times New Roman"/>
          <w:sz w:val="24"/>
          <w:szCs w:val="24"/>
        </w:rPr>
        <w:t>Nelson</w:t>
      </w:r>
      <w:r w:rsidR="009F2B36" w:rsidRPr="00346183">
        <w:rPr>
          <w:rFonts w:ascii="Times New Roman" w:eastAsia="Times New Roman" w:hAnsi="Times New Roman" w:cs="Times New Roman"/>
          <w:sz w:val="24"/>
          <w:szCs w:val="24"/>
        </w:rPr>
        <w:t>, 2018)</w:t>
      </w:r>
      <w:r w:rsidRPr="00346183">
        <w:rPr>
          <w:rFonts w:ascii="Times New Roman" w:hAnsi="Times New Roman" w:cs="Times New Roman"/>
          <w:sz w:val="24"/>
          <w:szCs w:val="24"/>
        </w:rPr>
        <w:t xml:space="preserve">. The man nearly fell, but the security authority in the car acted abruptly and helped him before another security authority on the platform of Island Railroad Co. pushed him from behind. The man was carrying a package that fell and unfortunately exploded. When the fireworks exploded, the explosion resulted in the fall of scales at the far end of the platform, and unfortunately, this hit the plaintiff. Subsequently, the plaintiff filed a lawsuit and sued for damages due to the injuries sustained as a result of the negligence of the defendant. </w:t>
      </w:r>
    </w:p>
    <w:p w:rsidR="00353733" w:rsidRPr="00346183" w:rsidRDefault="00353733" w:rsidP="00346183">
      <w:pPr>
        <w:spacing w:line="480" w:lineRule="auto"/>
        <w:rPr>
          <w:rFonts w:ascii="Times New Roman" w:hAnsi="Times New Roman" w:cs="Times New Roman"/>
          <w:sz w:val="24"/>
          <w:szCs w:val="24"/>
        </w:rPr>
      </w:pPr>
      <w:r w:rsidRPr="00346183">
        <w:rPr>
          <w:rFonts w:ascii="Times New Roman" w:hAnsi="Times New Roman" w:cs="Times New Roman"/>
          <w:sz w:val="24"/>
          <w:szCs w:val="24"/>
        </w:rPr>
        <w:t>The Supreme Court ruled in favor of the plaintiff. Fortunately, in the year 1927, the Supreme Court agreed with the claims made by the plaintiff, thereby ruling in favor of her</w:t>
      </w:r>
      <w:r w:rsidR="009F2B36" w:rsidRPr="00346183">
        <w:rPr>
          <w:rFonts w:ascii="Times New Roman" w:hAnsi="Times New Roman" w:cs="Times New Roman"/>
          <w:sz w:val="24"/>
          <w:szCs w:val="24"/>
        </w:rPr>
        <w:t xml:space="preserve"> (</w:t>
      </w:r>
      <w:r w:rsidR="009F2B36" w:rsidRPr="009F2B36">
        <w:rPr>
          <w:rFonts w:ascii="Times New Roman" w:eastAsia="Times New Roman" w:hAnsi="Times New Roman" w:cs="Times New Roman"/>
          <w:sz w:val="24"/>
          <w:szCs w:val="24"/>
        </w:rPr>
        <w:t>Nelson</w:t>
      </w:r>
      <w:r w:rsidR="009F2B36" w:rsidRPr="00346183">
        <w:rPr>
          <w:rFonts w:ascii="Times New Roman" w:eastAsia="Times New Roman" w:hAnsi="Times New Roman" w:cs="Times New Roman"/>
          <w:sz w:val="24"/>
          <w:szCs w:val="24"/>
        </w:rPr>
        <w:t>, 2018)</w:t>
      </w:r>
      <w:r w:rsidRPr="00346183">
        <w:rPr>
          <w:rFonts w:ascii="Times New Roman" w:hAnsi="Times New Roman" w:cs="Times New Roman"/>
          <w:sz w:val="24"/>
          <w:szCs w:val="24"/>
        </w:rPr>
        <w:t xml:space="preserve">. The supreme courts ruled that it was the result of the negligent behavior of the employees of Long Island Railroad Co. that made the firework explosives be thrown beneath the train and thereby explode, causing injuries to the plaintiff. However, the defendant appealed the decision </w:t>
      </w:r>
      <w:r w:rsidRPr="00346183">
        <w:rPr>
          <w:rFonts w:ascii="Times New Roman" w:hAnsi="Times New Roman" w:cs="Times New Roman"/>
          <w:sz w:val="24"/>
          <w:szCs w:val="24"/>
        </w:rPr>
        <w:lastRenderedPageBreak/>
        <w:t xml:space="preserve">of the Supreme Court in the Court of appeals. In the following year, the Court of Appeals overturned the decision of the Supreme Court. Notably, the Court of Appeals ruled in favor of the defendant, thereby disregarding the claims of the plaintiff. The Court of Appeals stated that the actions by the security guards of Long Island Railroad Co. did not act in negligence. In addition, the Court stated that there was no conscious evidence that the newspaper-wrapped parcel would fall, explode, and spread to the entire station. </w:t>
      </w:r>
    </w:p>
    <w:p w:rsidR="00353733" w:rsidRPr="00346183" w:rsidRDefault="00353733" w:rsidP="00346183">
      <w:pPr>
        <w:spacing w:line="480" w:lineRule="auto"/>
        <w:rPr>
          <w:rFonts w:ascii="Times New Roman" w:hAnsi="Times New Roman" w:cs="Times New Roman"/>
          <w:sz w:val="24"/>
          <w:szCs w:val="24"/>
        </w:rPr>
      </w:pPr>
      <w:r w:rsidRPr="00346183">
        <w:rPr>
          <w:rFonts w:ascii="Times New Roman" w:hAnsi="Times New Roman" w:cs="Times New Roman"/>
          <w:sz w:val="24"/>
          <w:szCs w:val="24"/>
        </w:rPr>
        <w:t>The Court stated that negligence could not be actionable except if it includes the invasion of an interest that is protected by the law. In the given scenario, the interest that is protected by the law is the right to be safeguarded against being inferred by the bodily security apparatus of an organization. Negligence is defined as the lack of care, depending on the prevailing circumstances. The Court of Appeals alluded that in the given scenario, there w</w:t>
      </w:r>
      <w:r w:rsidR="009F2B36" w:rsidRPr="00346183">
        <w:rPr>
          <w:rFonts w:ascii="Times New Roman" w:hAnsi="Times New Roman" w:cs="Times New Roman"/>
          <w:sz w:val="24"/>
          <w:szCs w:val="24"/>
        </w:rPr>
        <w:t>as no evidence of negligence as</w:t>
      </w:r>
      <w:r w:rsidRPr="00346183">
        <w:rPr>
          <w:rFonts w:ascii="Times New Roman" w:hAnsi="Times New Roman" w:cs="Times New Roman"/>
          <w:sz w:val="24"/>
          <w:szCs w:val="24"/>
        </w:rPr>
        <w:t xml:space="preserve"> Lon</w:t>
      </w:r>
      <w:r w:rsidR="00BB4F3C">
        <w:rPr>
          <w:rFonts w:ascii="Times New Roman" w:hAnsi="Times New Roman" w:cs="Times New Roman"/>
          <w:sz w:val="24"/>
          <w:szCs w:val="24"/>
        </w:rPr>
        <w:t xml:space="preserve">g Island Railroad Company </w:t>
      </w:r>
      <w:r w:rsidR="00BB4F3C" w:rsidRPr="00346183">
        <w:rPr>
          <w:rFonts w:ascii="Times New Roman" w:hAnsi="Times New Roman" w:cs="Times New Roman"/>
          <w:sz w:val="24"/>
          <w:szCs w:val="24"/>
        </w:rPr>
        <w:t>could</w:t>
      </w:r>
      <w:r w:rsidRPr="00346183">
        <w:rPr>
          <w:rFonts w:ascii="Times New Roman" w:hAnsi="Times New Roman" w:cs="Times New Roman"/>
          <w:sz w:val="24"/>
          <w:szCs w:val="24"/>
        </w:rPr>
        <w:t xml:space="preserve"> not ha</w:t>
      </w:r>
      <w:r w:rsidR="009F2B36" w:rsidRPr="00346183">
        <w:rPr>
          <w:rFonts w:ascii="Times New Roman" w:hAnsi="Times New Roman" w:cs="Times New Roman"/>
          <w:sz w:val="24"/>
          <w:szCs w:val="24"/>
        </w:rPr>
        <w:t xml:space="preserve">ve overseen the behavior of its </w:t>
      </w:r>
      <w:r w:rsidRPr="00346183">
        <w:rPr>
          <w:rFonts w:ascii="Times New Roman" w:hAnsi="Times New Roman" w:cs="Times New Roman"/>
          <w:sz w:val="24"/>
          <w:szCs w:val="24"/>
        </w:rPr>
        <w:t>employees to as</w:t>
      </w:r>
      <w:r w:rsidR="009F2B36" w:rsidRPr="00346183">
        <w:rPr>
          <w:rFonts w:ascii="Times New Roman" w:hAnsi="Times New Roman" w:cs="Times New Roman"/>
          <w:sz w:val="24"/>
          <w:szCs w:val="24"/>
        </w:rPr>
        <w:t>certain that such behavior did</w:t>
      </w:r>
      <w:r w:rsidRPr="00346183">
        <w:rPr>
          <w:rFonts w:ascii="Times New Roman" w:hAnsi="Times New Roman" w:cs="Times New Roman"/>
          <w:sz w:val="24"/>
          <w:szCs w:val="24"/>
        </w:rPr>
        <w:t xml:space="preserve"> not </w:t>
      </w:r>
      <w:r w:rsidR="009F2B36" w:rsidRPr="00346183">
        <w:rPr>
          <w:rFonts w:ascii="Times New Roman" w:hAnsi="Times New Roman" w:cs="Times New Roman"/>
          <w:sz w:val="24"/>
          <w:szCs w:val="24"/>
        </w:rPr>
        <w:t>result</w:t>
      </w:r>
      <w:r w:rsidRPr="00346183">
        <w:rPr>
          <w:rFonts w:ascii="Times New Roman" w:hAnsi="Times New Roman" w:cs="Times New Roman"/>
          <w:sz w:val="24"/>
          <w:szCs w:val="24"/>
        </w:rPr>
        <w:t xml:space="preserve"> in injuries to the plaintiff</w:t>
      </w:r>
      <w:r w:rsidR="009F2B36" w:rsidRPr="00346183">
        <w:rPr>
          <w:rFonts w:ascii="Times New Roman" w:hAnsi="Times New Roman" w:cs="Times New Roman"/>
          <w:sz w:val="24"/>
          <w:szCs w:val="24"/>
        </w:rPr>
        <w:t xml:space="preserve"> (</w:t>
      </w:r>
      <w:r w:rsidR="009F2B36" w:rsidRPr="009F2B36">
        <w:rPr>
          <w:rFonts w:ascii="Times New Roman" w:eastAsia="Times New Roman" w:hAnsi="Times New Roman" w:cs="Times New Roman"/>
          <w:sz w:val="24"/>
          <w:szCs w:val="24"/>
        </w:rPr>
        <w:t>Nelson</w:t>
      </w:r>
      <w:r w:rsidR="009F2B36" w:rsidRPr="00346183">
        <w:rPr>
          <w:rFonts w:ascii="Times New Roman" w:eastAsia="Times New Roman" w:hAnsi="Times New Roman" w:cs="Times New Roman"/>
          <w:sz w:val="24"/>
          <w:szCs w:val="24"/>
        </w:rPr>
        <w:t>, 2018)</w:t>
      </w:r>
      <w:r w:rsidRPr="00346183">
        <w:rPr>
          <w:rFonts w:ascii="Times New Roman" w:hAnsi="Times New Roman" w:cs="Times New Roman"/>
          <w:sz w:val="24"/>
          <w:szCs w:val="24"/>
        </w:rPr>
        <w:t xml:space="preserve">. Moreover, the Court ruled that the plaintiff only sued in her volition, but not as a breach of duty.   </w:t>
      </w:r>
    </w:p>
    <w:p w:rsidR="00353733" w:rsidRPr="00346183" w:rsidRDefault="00353733" w:rsidP="00346183">
      <w:pPr>
        <w:spacing w:line="480" w:lineRule="auto"/>
        <w:jc w:val="center"/>
        <w:rPr>
          <w:rFonts w:ascii="Times New Roman" w:hAnsi="Times New Roman" w:cs="Times New Roman"/>
          <w:b/>
          <w:sz w:val="24"/>
          <w:szCs w:val="24"/>
        </w:rPr>
      </w:pPr>
      <w:r w:rsidRPr="00346183">
        <w:rPr>
          <w:rFonts w:ascii="Times New Roman" w:hAnsi="Times New Roman" w:cs="Times New Roman"/>
          <w:b/>
          <w:sz w:val="24"/>
          <w:szCs w:val="24"/>
        </w:rPr>
        <w:t>Issue</w:t>
      </w:r>
    </w:p>
    <w:p w:rsidR="00353733" w:rsidRPr="00346183" w:rsidRDefault="00353733" w:rsidP="00346183">
      <w:pPr>
        <w:pStyle w:val="ListParagraph"/>
        <w:numPr>
          <w:ilvl w:val="0"/>
          <w:numId w:val="6"/>
        </w:numPr>
        <w:spacing w:line="480" w:lineRule="auto"/>
        <w:rPr>
          <w:rFonts w:ascii="Times New Roman" w:hAnsi="Times New Roman" w:cs="Times New Roman"/>
          <w:sz w:val="24"/>
          <w:szCs w:val="24"/>
        </w:rPr>
      </w:pPr>
      <w:r w:rsidRPr="00346183">
        <w:rPr>
          <w:rFonts w:ascii="Times New Roman" w:hAnsi="Times New Roman" w:cs="Times New Roman"/>
          <w:sz w:val="24"/>
          <w:szCs w:val="24"/>
        </w:rPr>
        <w:t>Was Long Island Railroad Co. responsible for negligence as a result of its employees pushing from behind the man carrying the fireworks?</w:t>
      </w:r>
    </w:p>
    <w:p w:rsidR="00353733" w:rsidRPr="00346183" w:rsidRDefault="00353733" w:rsidP="00346183">
      <w:pPr>
        <w:spacing w:line="480" w:lineRule="auto"/>
        <w:jc w:val="center"/>
        <w:rPr>
          <w:rFonts w:ascii="Times New Roman" w:hAnsi="Times New Roman" w:cs="Times New Roman"/>
          <w:b/>
          <w:sz w:val="24"/>
          <w:szCs w:val="24"/>
        </w:rPr>
      </w:pPr>
      <w:r w:rsidRPr="00346183">
        <w:rPr>
          <w:rFonts w:ascii="Times New Roman" w:hAnsi="Times New Roman" w:cs="Times New Roman"/>
          <w:b/>
          <w:sz w:val="24"/>
          <w:szCs w:val="24"/>
        </w:rPr>
        <w:t>Holding</w:t>
      </w:r>
    </w:p>
    <w:p w:rsidR="00353733" w:rsidRPr="00346183" w:rsidRDefault="00353733" w:rsidP="00346183">
      <w:pPr>
        <w:pStyle w:val="ListParagraph"/>
        <w:numPr>
          <w:ilvl w:val="0"/>
          <w:numId w:val="5"/>
        </w:numPr>
        <w:spacing w:line="480" w:lineRule="auto"/>
        <w:rPr>
          <w:rFonts w:ascii="Times New Roman" w:hAnsi="Times New Roman" w:cs="Times New Roman"/>
          <w:sz w:val="24"/>
          <w:szCs w:val="24"/>
        </w:rPr>
      </w:pPr>
      <w:r w:rsidRPr="00346183">
        <w:rPr>
          <w:rFonts w:ascii="Times New Roman" w:hAnsi="Times New Roman" w:cs="Times New Roman"/>
          <w:sz w:val="24"/>
          <w:szCs w:val="24"/>
        </w:rPr>
        <w:t>No.</w:t>
      </w:r>
    </w:p>
    <w:p w:rsidR="00353733" w:rsidRPr="00346183" w:rsidRDefault="00353733" w:rsidP="00346183">
      <w:pPr>
        <w:spacing w:line="480" w:lineRule="auto"/>
        <w:jc w:val="center"/>
        <w:rPr>
          <w:rFonts w:ascii="Times New Roman" w:hAnsi="Times New Roman" w:cs="Times New Roman"/>
          <w:b/>
          <w:sz w:val="24"/>
          <w:szCs w:val="24"/>
        </w:rPr>
      </w:pPr>
      <w:r w:rsidRPr="00346183">
        <w:rPr>
          <w:rFonts w:ascii="Times New Roman" w:hAnsi="Times New Roman" w:cs="Times New Roman"/>
          <w:b/>
          <w:sz w:val="24"/>
          <w:szCs w:val="24"/>
        </w:rPr>
        <w:t>Reasons</w:t>
      </w:r>
    </w:p>
    <w:p w:rsidR="00353733" w:rsidRPr="00346183" w:rsidRDefault="00353733" w:rsidP="00346183">
      <w:pPr>
        <w:pStyle w:val="ListParagraph"/>
        <w:numPr>
          <w:ilvl w:val="0"/>
          <w:numId w:val="4"/>
        </w:numPr>
        <w:spacing w:line="480" w:lineRule="auto"/>
        <w:rPr>
          <w:rFonts w:ascii="Times New Roman" w:hAnsi="Times New Roman" w:cs="Times New Roman"/>
          <w:sz w:val="24"/>
          <w:szCs w:val="24"/>
        </w:rPr>
      </w:pPr>
      <w:r w:rsidRPr="00346183">
        <w:rPr>
          <w:rFonts w:ascii="Times New Roman" w:hAnsi="Times New Roman" w:cs="Times New Roman"/>
          <w:sz w:val="24"/>
          <w:szCs w:val="24"/>
        </w:rPr>
        <w:lastRenderedPageBreak/>
        <w:t>The Court of Appeals held that there was no basis on which Long Island Railroad Co. could be held accountable for the injuries sustained by the plaintiff, Helen Palsgraf</w:t>
      </w:r>
      <w:r w:rsidR="009F2B36" w:rsidRPr="00346183">
        <w:rPr>
          <w:rFonts w:ascii="Times New Roman" w:hAnsi="Times New Roman" w:cs="Times New Roman"/>
          <w:sz w:val="24"/>
          <w:szCs w:val="24"/>
        </w:rPr>
        <w:t xml:space="preserve"> (</w:t>
      </w:r>
      <w:r w:rsidR="009F2B36" w:rsidRPr="00346183">
        <w:rPr>
          <w:rFonts w:ascii="Times New Roman" w:eastAsia="Times New Roman" w:hAnsi="Times New Roman" w:cs="Times New Roman"/>
          <w:sz w:val="24"/>
          <w:szCs w:val="24"/>
        </w:rPr>
        <w:t>Epstein</w:t>
      </w:r>
      <w:r w:rsidR="009F2B36" w:rsidRPr="009F2B36">
        <w:rPr>
          <w:rFonts w:ascii="Times New Roman" w:eastAsia="Times New Roman" w:hAnsi="Times New Roman" w:cs="Times New Roman"/>
          <w:sz w:val="24"/>
          <w:szCs w:val="24"/>
        </w:rPr>
        <w:t>&amp; Sharkey</w:t>
      </w:r>
      <w:r w:rsidR="009F2B36" w:rsidRPr="00346183">
        <w:rPr>
          <w:rFonts w:ascii="Times New Roman" w:eastAsia="Times New Roman" w:hAnsi="Times New Roman" w:cs="Times New Roman"/>
          <w:sz w:val="24"/>
          <w:szCs w:val="24"/>
        </w:rPr>
        <w:t>, 2020)</w:t>
      </w:r>
      <w:r w:rsidRPr="00346183">
        <w:rPr>
          <w:rFonts w:ascii="Times New Roman" w:hAnsi="Times New Roman" w:cs="Times New Roman"/>
          <w:sz w:val="24"/>
          <w:szCs w:val="24"/>
        </w:rPr>
        <w:t>. The defendant argued that the plaintiff did not prove that the injuries she sustained were a result of the defendant's negligence. In addition, the Court of Appeals ruled that even if there was negligence by the defendant, the neglect did not result in injuries to the plaintiff because such injury did not comprise of a natural result of aiding a man in boarding a train.  In brief, the Court ruled that the trainmen did not have the authority to bar the man from boarding the train.</w:t>
      </w:r>
    </w:p>
    <w:p w:rsidR="009F2B36" w:rsidRPr="00346183" w:rsidRDefault="00353733" w:rsidP="00346183">
      <w:pPr>
        <w:pStyle w:val="ListParagraph"/>
        <w:numPr>
          <w:ilvl w:val="0"/>
          <w:numId w:val="4"/>
        </w:numPr>
        <w:spacing w:line="480" w:lineRule="auto"/>
        <w:rPr>
          <w:rFonts w:ascii="Times New Roman" w:hAnsi="Times New Roman" w:cs="Times New Roman"/>
          <w:sz w:val="24"/>
          <w:szCs w:val="24"/>
        </w:rPr>
      </w:pPr>
      <w:r w:rsidRPr="00346183">
        <w:rPr>
          <w:rFonts w:ascii="Times New Roman" w:hAnsi="Times New Roman" w:cs="Times New Roman"/>
          <w:sz w:val="24"/>
          <w:szCs w:val="24"/>
        </w:rPr>
        <w:t>The Court of Appeals made its ruling based on the premises of the law of negligence. The law of negligence is based on several elements, including breach, proximate cause, duty, harm, and c</w:t>
      </w:r>
      <w:r w:rsidR="009F2B36" w:rsidRPr="00346183">
        <w:rPr>
          <w:rFonts w:ascii="Times New Roman" w:hAnsi="Times New Roman" w:cs="Times New Roman"/>
          <w:sz w:val="24"/>
          <w:szCs w:val="24"/>
        </w:rPr>
        <w:t>ause</w:t>
      </w:r>
      <w:r w:rsidRPr="00346183">
        <w:rPr>
          <w:rFonts w:ascii="Times New Roman" w:hAnsi="Times New Roman" w:cs="Times New Roman"/>
          <w:sz w:val="24"/>
          <w:szCs w:val="24"/>
        </w:rPr>
        <w:t xml:space="preserve"> in fact</w:t>
      </w:r>
      <w:r w:rsidR="009F2B36" w:rsidRPr="00346183">
        <w:rPr>
          <w:rFonts w:ascii="Times New Roman" w:hAnsi="Times New Roman" w:cs="Times New Roman"/>
          <w:sz w:val="24"/>
          <w:szCs w:val="24"/>
        </w:rPr>
        <w:t xml:space="preserve"> (</w:t>
      </w:r>
      <w:r w:rsidR="009F2B36" w:rsidRPr="009F2B36">
        <w:rPr>
          <w:rFonts w:ascii="Times New Roman" w:eastAsia="Times New Roman" w:hAnsi="Times New Roman" w:cs="Times New Roman"/>
          <w:sz w:val="24"/>
          <w:szCs w:val="24"/>
        </w:rPr>
        <w:t>Oldham</w:t>
      </w:r>
      <w:r w:rsidR="009F2B36" w:rsidRPr="00346183">
        <w:rPr>
          <w:rFonts w:ascii="Times New Roman" w:eastAsia="Times New Roman" w:hAnsi="Times New Roman" w:cs="Times New Roman"/>
          <w:sz w:val="24"/>
          <w:szCs w:val="24"/>
        </w:rPr>
        <w:t>, 2018)</w:t>
      </w:r>
      <w:r w:rsidRPr="00346183">
        <w:rPr>
          <w:rFonts w:ascii="Times New Roman" w:hAnsi="Times New Roman" w:cs="Times New Roman"/>
          <w:sz w:val="24"/>
          <w:szCs w:val="24"/>
        </w:rPr>
        <w:t xml:space="preserve">. The breach involves being able to prove that damages occurred as a result of violating standard care. Proximate cause involves being able to link damages and a negligent act directly. Duty is when the plaintiff proves that the defendant had the responsibility of caring for the plaintiff, while harm is being able to prove that one suffered injuries due to another person's negligence. In the given scenario, the defendant did not have a duty to protect the plaintiff from harm, and there was no direct relationship between the injuries sustained by the plaintiff and the perceived negligence of the defendant. Furthermore, there existed no breach of contract in which the defendant was to guarantee the safety of the defendant.        </w:t>
      </w:r>
    </w:p>
    <w:p w:rsidR="00346183" w:rsidRDefault="00346183" w:rsidP="00346183">
      <w:pPr>
        <w:spacing w:line="480" w:lineRule="auto"/>
        <w:jc w:val="center"/>
        <w:rPr>
          <w:rFonts w:ascii="Times New Roman" w:hAnsi="Times New Roman" w:cs="Times New Roman"/>
          <w:b/>
          <w:sz w:val="24"/>
          <w:szCs w:val="24"/>
        </w:rPr>
      </w:pPr>
    </w:p>
    <w:p w:rsidR="00346183" w:rsidRDefault="00346183" w:rsidP="00346183">
      <w:pPr>
        <w:spacing w:line="480" w:lineRule="auto"/>
        <w:jc w:val="center"/>
        <w:rPr>
          <w:rFonts w:ascii="Times New Roman" w:hAnsi="Times New Roman" w:cs="Times New Roman"/>
          <w:b/>
          <w:sz w:val="24"/>
          <w:szCs w:val="24"/>
        </w:rPr>
      </w:pPr>
    </w:p>
    <w:p w:rsidR="00346183" w:rsidRDefault="00346183" w:rsidP="00346183">
      <w:pPr>
        <w:spacing w:line="480" w:lineRule="auto"/>
        <w:jc w:val="center"/>
        <w:rPr>
          <w:rFonts w:ascii="Times New Roman" w:hAnsi="Times New Roman" w:cs="Times New Roman"/>
          <w:b/>
          <w:sz w:val="24"/>
          <w:szCs w:val="24"/>
        </w:rPr>
      </w:pPr>
    </w:p>
    <w:p w:rsidR="009F2B36" w:rsidRPr="00346183" w:rsidRDefault="009F2B36" w:rsidP="00346183">
      <w:pPr>
        <w:spacing w:line="480" w:lineRule="auto"/>
        <w:jc w:val="center"/>
        <w:rPr>
          <w:rFonts w:ascii="Times New Roman" w:hAnsi="Times New Roman" w:cs="Times New Roman"/>
          <w:b/>
          <w:sz w:val="24"/>
          <w:szCs w:val="24"/>
        </w:rPr>
      </w:pPr>
      <w:r w:rsidRPr="00346183">
        <w:rPr>
          <w:rFonts w:ascii="Times New Roman" w:hAnsi="Times New Roman" w:cs="Times New Roman"/>
          <w:b/>
          <w:sz w:val="24"/>
          <w:szCs w:val="24"/>
        </w:rPr>
        <w:lastRenderedPageBreak/>
        <w:t>References</w:t>
      </w:r>
    </w:p>
    <w:p w:rsidR="00346183" w:rsidRPr="009F2B36" w:rsidRDefault="00346183" w:rsidP="00346183">
      <w:pPr>
        <w:spacing w:after="0" w:line="480" w:lineRule="auto"/>
        <w:ind w:left="720" w:hanging="720"/>
        <w:rPr>
          <w:rFonts w:ascii="Times New Roman" w:eastAsia="Times New Roman" w:hAnsi="Times New Roman" w:cs="Times New Roman"/>
          <w:sz w:val="24"/>
          <w:szCs w:val="24"/>
        </w:rPr>
      </w:pPr>
      <w:r w:rsidRPr="009F2B36">
        <w:rPr>
          <w:rFonts w:ascii="Times New Roman" w:eastAsia="Times New Roman" w:hAnsi="Times New Roman" w:cs="Times New Roman"/>
          <w:sz w:val="24"/>
          <w:szCs w:val="24"/>
        </w:rPr>
        <w:t xml:space="preserve">Epstein, R. A., &amp; Sharkey, C. M. (2020). </w:t>
      </w:r>
      <w:r w:rsidRPr="009F2B36">
        <w:rPr>
          <w:rFonts w:ascii="Times New Roman" w:eastAsia="Times New Roman" w:hAnsi="Times New Roman" w:cs="Times New Roman"/>
          <w:i/>
          <w:iCs/>
          <w:sz w:val="24"/>
          <w:szCs w:val="24"/>
        </w:rPr>
        <w:t>Cases and materials on torts</w:t>
      </w:r>
      <w:r w:rsidRPr="009F2B36">
        <w:rPr>
          <w:rFonts w:ascii="Times New Roman" w:eastAsia="Times New Roman" w:hAnsi="Times New Roman" w:cs="Times New Roman"/>
          <w:sz w:val="24"/>
          <w:szCs w:val="24"/>
        </w:rPr>
        <w:t>. Aspen Publishers.</w:t>
      </w:r>
    </w:p>
    <w:p w:rsidR="00346183" w:rsidRPr="00346183" w:rsidRDefault="00346183" w:rsidP="00346183">
      <w:pPr>
        <w:spacing w:after="0" w:line="480" w:lineRule="auto"/>
        <w:ind w:left="720" w:hanging="720"/>
        <w:rPr>
          <w:rFonts w:ascii="Times New Roman" w:eastAsia="Times New Roman" w:hAnsi="Times New Roman" w:cs="Times New Roman"/>
          <w:sz w:val="24"/>
          <w:szCs w:val="24"/>
        </w:rPr>
      </w:pPr>
      <w:r w:rsidRPr="009F2B36">
        <w:rPr>
          <w:rFonts w:ascii="Times New Roman" w:eastAsia="Times New Roman" w:hAnsi="Times New Roman" w:cs="Times New Roman"/>
          <w:sz w:val="24"/>
          <w:szCs w:val="24"/>
        </w:rPr>
        <w:t>Nelson, W. E. (2018). Palsgraf v. Long Island RR: It</w:t>
      </w:r>
      <w:bookmarkStart w:id="0" w:name="_GoBack"/>
      <w:bookmarkEnd w:id="0"/>
      <w:r w:rsidRPr="009F2B36">
        <w:rPr>
          <w:rFonts w:ascii="Times New Roman" w:eastAsia="Times New Roman" w:hAnsi="Times New Roman" w:cs="Times New Roman"/>
          <w:sz w:val="24"/>
          <w:szCs w:val="24"/>
        </w:rPr>
        <w:t xml:space="preserve">s Historical Context. </w:t>
      </w:r>
      <w:r w:rsidRPr="009F2B36">
        <w:rPr>
          <w:rFonts w:ascii="Times New Roman" w:eastAsia="Times New Roman" w:hAnsi="Times New Roman" w:cs="Times New Roman"/>
          <w:i/>
          <w:iCs/>
          <w:sz w:val="24"/>
          <w:szCs w:val="24"/>
        </w:rPr>
        <w:t>Touro L. Rev.</w:t>
      </w:r>
      <w:r w:rsidRPr="009F2B36">
        <w:rPr>
          <w:rFonts w:ascii="Times New Roman" w:eastAsia="Times New Roman" w:hAnsi="Times New Roman" w:cs="Times New Roman"/>
          <w:sz w:val="24"/>
          <w:szCs w:val="24"/>
        </w:rPr>
        <w:t xml:space="preserve">, </w:t>
      </w:r>
      <w:r w:rsidRPr="009F2B36">
        <w:rPr>
          <w:rFonts w:ascii="Times New Roman" w:eastAsia="Times New Roman" w:hAnsi="Times New Roman" w:cs="Times New Roman"/>
          <w:i/>
          <w:iCs/>
          <w:sz w:val="24"/>
          <w:szCs w:val="24"/>
        </w:rPr>
        <w:t>34</w:t>
      </w:r>
      <w:r w:rsidRPr="009F2B36">
        <w:rPr>
          <w:rFonts w:ascii="Times New Roman" w:eastAsia="Times New Roman" w:hAnsi="Times New Roman" w:cs="Times New Roman"/>
          <w:sz w:val="24"/>
          <w:szCs w:val="24"/>
        </w:rPr>
        <w:t>, 281.</w:t>
      </w:r>
    </w:p>
    <w:p w:rsidR="00346183" w:rsidRPr="00346183" w:rsidRDefault="00346183" w:rsidP="00346183">
      <w:pPr>
        <w:spacing w:after="0" w:line="480" w:lineRule="auto"/>
        <w:ind w:left="720" w:hanging="720"/>
        <w:rPr>
          <w:rFonts w:ascii="Times New Roman" w:eastAsia="Times New Roman" w:hAnsi="Times New Roman" w:cs="Times New Roman"/>
          <w:sz w:val="24"/>
          <w:szCs w:val="24"/>
        </w:rPr>
      </w:pPr>
      <w:r w:rsidRPr="009F2B36">
        <w:rPr>
          <w:rFonts w:ascii="Times New Roman" w:eastAsia="Times New Roman" w:hAnsi="Times New Roman" w:cs="Times New Roman"/>
          <w:sz w:val="24"/>
          <w:szCs w:val="24"/>
        </w:rPr>
        <w:t xml:space="preserve">Oldham, J. (2018). The Law of Negligence as Reported in The Times, 1785-1820. </w:t>
      </w:r>
      <w:r w:rsidRPr="009F2B36">
        <w:rPr>
          <w:rFonts w:ascii="Times New Roman" w:eastAsia="Times New Roman" w:hAnsi="Times New Roman" w:cs="Times New Roman"/>
          <w:i/>
          <w:iCs/>
          <w:sz w:val="24"/>
          <w:szCs w:val="24"/>
        </w:rPr>
        <w:t>LAW &amp; HIST. REV.</w:t>
      </w:r>
      <w:r w:rsidRPr="009F2B36">
        <w:rPr>
          <w:rFonts w:ascii="Times New Roman" w:eastAsia="Times New Roman" w:hAnsi="Times New Roman" w:cs="Times New Roman"/>
          <w:sz w:val="24"/>
          <w:szCs w:val="24"/>
        </w:rPr>
        <w:t xml:space="preserve">, </w:t>
      </w:r>
      <w:r w:rsidRPr="009F2B36">
        <w:rPr>
          <w:rFonts w:ascii="Times New Roman" w:eastAsia="Times New Roman" w:hAnsi="Times New Roman" w:cs="Times New Roman"/>
          <w:i/>
          <w:iCs/>
          <w:sz w:val="24"/>
          <w:szCs w:val="24"/>
        </w:rPr>
        <w:t>36</w:t>
      </w:r>
      <w:r w:rsidRPr="009F2B36">
        <w:rPr>
          <w:rFonts w:ascii="Times New Roman" w:eastAsia="Times New Roman" w:hAnsi="Times New Roman" w:cs="Times New Roman"/>
          <w:sz w:val="24"/>
          <w:szCs w:val="24"/>
        </w:rPr>
        <w:t>, 383-396.</w:t>
      </w:r>
    </w:p>
    <w:p w:rsidR="009F2B36" w:rsidRPr="009F2B36" w:rsidRDefault="009F2B36" w:rsidP="00346183">
      <w:pPr>
        <w:spacing w:after="0" w:line="480" w:lineRule="auto"/>
        <w:rPr>
          <w:rFonts w:ascii="Times New Roman" w:eastAsia="Times New Roman" w:hAnsi="Times New Roman" w:cs="Times New Roman"/>
          <w:sz w:val="24"/>
          <w:szCs w:val="24"/>
        </w:rPr>
      </w:pPr>
    </w:p>
    <w:p w:rsidR="009F2B36" w:rsidRPr="009F2B36" w:rsidRDefault="009F2B36" w:rsidP="00346183">
      <w:pPr>
        <w:spacing w:after="0" w:line="480" w:lineRule="auto"/>
        <w:rPr>
          <w:rFonts w:ascii="Times New Roman" w:eastAsia="Times New Roman" w:hAnsi="Times New Roman" w:cs="Times New Roman"/>
          <w:sz w:val="24"/>
          <w:szCs w:val="24"/>
        </w:rPr>
      </w:pPr>
    </w:p>
    <w:p w:rsidR="009F2B36" w:rsidRPr="00346183" w:rsidRDefault="009F2B36" w:rsidP="00346183">
      <w:pPr>
        <w:spacing w:line="480" w:lineRule="auto"/>
        <w:rPr>
          <w:rFonts w:ascii="Times New Roman" w:hAnsi="Times New Roman" w:cs="Times New Roman"/>
          <w:sz w:val="24"/>
          <w:szCs w:val="24"/>
        </w:rPr>
      </w:pPr>
    </w:p>
    <w:p w:rsidR="00D537B0" w:rsidRPr="00346183" w:rsidRDefault="00D537B0" w:rsidP="00346183">
      <w:pPr>
        <w:spacing w:line="480" w:lineRule="auto"/>
        <w:rPr>
          <w:rFonts w:ascii="Times New Roman" w:hAnsi="Times New Roman" w:cs="Times New Roman"/>
          <w:sz w:val="24"/>
          <w:szCs w:val="24"/>
        </w:rPr>
      </w:pPr>
    </w:p>
    <w:sectPr w:rsidR="00D537B0" w:rsidRPr="00346183" w:rsidSect="0034618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212E" w:rsidRDefault="000D212E" w:rsidP="00346183">
      <w:pPr>
        <w:spacing w:after="0" w:line="240" w:lineRule="auto"/>
      </w:pPr>
      <w:r>
        <w:separator/>
      </w:r>
    </w:p>
  </w:endnote>
  <w:endnote w:type="continuationSeparator" w:id="1">
    <w:p w:rsidR="000D212E" w:rsidRDefault="000D212E" w:rsidP="003461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212E" w:rsidRDefault="000D212E" w:rsidP="00346183">
      <w:pPr>
        <w:spacing w:after="0" w:line="240" w:lineRule="auto"/>
      </w:pPr>
      <w:r>
        <w:separator/>
      </w:r>
    </w:p>
  </w:footnote>
  <w:footnote w:type="continuationSeparator" w:id="1">
    <w:p w:rsidR="000D212E" w:rsidRDefault="000D212E" w:rsidP="003461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183" w:rsidRPr="00346183" w:rsidRDefault="00346183">
    <w:pPr>
      <w:pStyle w:val="Header"/>
      <w:rPr>
        <w:rFonts w:ascii="Times New Roman" w:hAnsi="Times New Roman" w:cs="Times New Roman"/>
        <w:sz w:val="24"/>
        <w:szCs w:val="24"/>
      </w:rPr>
    </w:pPr>
    <w:r>
      <w:tab/>
    </w:r>
    <w:r>
      <w:tab/>
    </w:r>
    <w:r w:rsidR="00B64B19" w:rsidRPr="00346183">
      <w:rPr>
        <w:rFonts w:ascii="Times New Roman" w:hAnsi="Times New Roman" w:cs="Times New Roman"/>
        <w:sz w:val="24"/>
        <w:szCs w:val="24"/>
      </w:rPr>
      <w:fldChar w:fldCharType="begin"/>
    </w:r>
    <w:r w:rsidRPr="00346183">
      <w:rPr>
        <w:rFonts w:ascii="Times New Roman" w:hAnsi="Times New Roman" w:cs="Times New Roman"/>
        <w:sz w:val="24"/>
        <w:szCs w:val="24"/>
      </w:rPr>
      <w:instrText xml:space="preserve"> PAGE   \* MERGEFORMAT </w:instrText>
    </w:r>
    <w:r w:rsidR="00B64B19" w:rsidRPr="00346183">
      <w:rPr>
        <w:rFonts w:ascii="Times New Roman" w:hAnsi="Times New Roman" w:cs="Times New Roman"/>
        <w:sz w:val="24"/>
        <w:szCs w:val="24"/>
      </w:rPr>
      <w:fldChar w:fldCharType="separate"/>
    </w:r>
    <w:r w:rsidR="00BB4F3C">
      <w:rPr>
        <w:rFonts w:ascii="Times New Roman" w:hAnsi="Times New Roman" w:cs="Times New Roman"/>
        <w:noProof/>
        <w:sz w:val="24"/>
        <w:szCs w:val="24"/>
      </w:rPr>
      <w:t>3</w:t>
    </w:r>
    <w:r w:rsidR="00B64B19" w:rsidRPr="00346183">
      <w:rPr>
        <w:rFonts w:ascii="Times New Roman" w:hAnsi="Times New Roman" w:cs="Times New Roman"/>
        <w:noProof/>
        <w:sz w:val="24"/>
        <w:szCs w:val="24"/>
      </w:rPr>
      <w:fldChar w:fldCharType="end"/>
    </w:r>
  </w:p>
  <w:p w:rsidR="00346183" w:rsidRDefault="003461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183" w:rsidRPr="00346183" w:rsidRDefault="00346183">
    <w:pPr>
      <w:pStyle w:val="Header"/>
      <w:rPr>
        <w:rFonts w:ascii="Times New Roman" w:hAnsi="Times New Roman" w:cs="Times New Roman"/>
        <w:sz w:val="24"/>
        <w:szCs w:val="24"/>
      </w:rPr>
    </w:pPr>
    <w:r>
      <w:tab/>
    </w:r>
    <w:r>
      <w:tab/>
    </w:r>
    <w:r w:rsidR="00B64B19" w:rsidRPr="00346183">
      <w:rPr>
        <w:rFonts w:ascii="Times New Roman" w:hAnsi="Times New Roman" w:cs="Times New Roman"/>
        <w:sz w:val="24"/>
        <w:szCs w:val="24"/>
      </w:rPr>
      <w:fldChar w:fldCharType="begin"/>
    </w:r>
    <w:r w:rsidRPr="00346183">
      <w:rPr>
        <w:rFonts w:ascii="Times New Roman" w:hAnsi="Times New Roman" w:cs="Times New Roman"/>
        <w:sz w:val="24"/>
        <w:szCs w:val="24"/>
      </w:rPr>
      <w:instrText xml:space="preserve"> PAGE   \* MERGEFORMAT </w:instrText>
    </w:r>
    <w:r w:rsidR="00B64B19" w:rsidRPr="00346183">
      <w:rPr>
        <w:rFonts w:ascii="Times New Roman" w:hAnsi="Times New Roman" w:cs="Times New Roman"/>
        <w:sz w:val="24"/>
        <w:szCs w:val="24"/>
      </w:rPr>
      <w:fldChar w:fldCharType="separate"/>
    </w:r>
    <w:r w:rsidR="00BB4F3C">
      <w:rPr>
        <w:rFonts w:ascii="Times New Roman" w:hAnsi="Times New Roman" w:cs="Times New Roman"/>
        <w:noProof/>
        <w:sz w:val="24"/>
        <w:szCs w:val="24"/>
      </w:rPr>
      <w:t>1</w:t>
    </w:r>
    <w:r w:rsidR="00B64B19" w:rsidRPr="00346183">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A6B1B"/>
    <w:multiLevelType w:val="hybridMultilevel"/>
    <w:tmpl w:val="55505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6922DC"/>
    <w:multiLevelType w:val="hybridMultilevel"/>
    <w:tmpl w:val="065C6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BE0B6B"/>
    <w:multiLevelType w:val="hybridMultilevel"/>
    <w:tmpl w:val="720A5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940A44"/>
    <w:multiLevelType w:val="hybridMultilevel"/>
    <w:tmpl w:val="682AA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E4B0D8C"/>
    <w:multiLevelType w:val="hybridMultilevel"/>
    <w:tmpl w:val="88E05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4C24CE"/>
    <w:multiLevelType w:val="hybridMultilevel"/>
    <w:tmpl w:val="8EDC0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4"/>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537B0"/>
    <w:rsid w:val="000066FE"/>
    <w:rsid w:val="0002501C"/>
    <w:rsid w:val="00066BD5"/>
    <w:rsid w:val="00074600"/>
    <w:rsid w:val="000D212E"/>
    <w:rsid w:val="001333B3"/>
    <w:rsid w:val="00185919"/>
    <w:rsid w:val="0019065B"/>
    <w:rsid w:val="001B5993"/>
    <w:rsid w:val="002D605D"/>
    <w:rsid w:val="00346183"/>
    <w:rsid w:val="00353733"/>
    <w:rsid w:val="00365531"/>
    <w:rsid w:val="00390ECD"/>
    <w:rsid w:val="004606E3"/>
    <w:rsid w:val="00595648"/>
    <w:rsid w:val="005F6E04"/>
    <w:rsid w:val="006549AB"/>
    <w:rsid w:val="0066013C"/>
    <w:rsid w:val="00803399"/>
    <w:rsid w:val="008A0F39"/>
    <w:rsid w:val="0090550C"/>
    <w:rsid w:val="009F2B36"/>
    <w:rsid w:val="00AC7461"/>
    <w:rsid w:val="00B64B19"/>
    <w:rsid w:val="00BB4F3C"/>
    <w:rsid w:val="00BE49D7"/>
    <w:rsid w:val="00C305BE"/>
    <w:rsid w:val="00CB060D"/>
    <w:rsid w:val="00D537B0"/>
    <w:rsid w:val="00D8368D"/>
    <w:rsid w:val="00E175A8"/>
    <w:rsid w:val="00E4705B"/>
    <w:rsid w:val="00EE4A91"/>
    <w:rsid w:val="00F82943"/>
    <w:rsid w:val="00FB66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68D"/>
  </w:style>
  <w:style w:type="paragraph" w:styleId="Heading1">
    <w:name w:val="heading 1"/>
    <w:basedOn w:val="Normal1"/>
    <w:next w:val="Normal1"/>
    <w:link w:val="Heading1Char"/>
    <w:rsid w:val="00D537B0"/>
    <w:pPr>
      <w:spacing w:line="240" w:lineRule="auto"/>
      <w:outlineLvl w:val="0"/>
    </w:pPr>
    <w:rPr>
      <w:rFonts w:ascii="Times New Roman" w:eastAsia="Times New Roman" w:hAnsi="Times New Roman" w:cs="Times New Roman"/>
      <w:b/>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37B0"/>
    <w:rPr>
      <w:rFonts w:ascii="Times New Roman" w:eastAsia="Times New Roman" w:hAnsi="Times New Roman" w:cs="Times New Roman"/>
      <w:b/>
      <w:sz w:val="48"/>
      <w:szCs w:val="48"/>
    </w:rPr>
  </w:style>
  <w:style w:type="paragraph" w:customStyle="1" w:styleId="Normal1">
    <w:name w:val="Normal1"/>
    <w:rsid w:val="00D537B0"/>
    <w:pPr>
      <w:spacing w:after="160" w:line="259" w:lineRule="auto"/>
    </w:pPr>
    <w:rPr>
      <w:rFonts w:ascii="Calibri" w:eastAsia="Calibri" w:hAnsi="Calibri" w:cs="Calibri"/>
    </w:rPr>
  </w:style>
  <w:style w:type="character" w:customStyle="1" w:styleId="gywzne">
    <w:name w:val="gywzne"/>
    <w:basedOn w:val="DefaultParagraphFont"/>
    <w:rsid w:val="00D537B0"/>
  </w:style>
  <w:style w:type="paragraph" w:styleId="ListParagraph">
    <w:name w:val="List Paragraph"/>
    <w:basedOn w:val="Normal"/>
    <w:uiPriority w:val="34"/>
    <w:qFormat/>
    <w:rsid w:val="009F2B36"/>
    <w:pPr>
      <w:ind w:left="720"/>
      <w:contextualSpacing/>
    </w:pPr>
  </w:style>
  <w:style w:type="paragraph" w:styleId="Header">
    <w:name w:val="header"/>
    <w:basedOn w:val="Normal"/>
    <w:link w:val="HeaderChar"/>
    <w:uiPriority w:val="99"/>
    <w:unhideWhenUsed/>
    <w:rsid w:val="00346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183"/>
  </w:style>
  <w:style w:type="paragraph" w:styleId="Footer">
    <w:name w:val="footer"/>
    <w:basedOn w:val="Normal"/>
    <w:link w:val="FooterChar"/>
    <w:uiPriority w:val="99"/>
    <w:unhideWhenUsed/>
    <w:rsid w:val="00346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183"/>
  </w:style>
  <w:style w:type="paragraph" w:styleId="BalloonText">
    <w:name w:val="Balloon Text"/>
    <w:basedOn w:val="Normal"/>
    <w:link w:val="BalloonTextChar"/>
    <w:uiPriority w:val="99"/>
    <w:semiHidden/>
    <w:unhideWhenUsed/>
    <w:rsid w:val="00346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61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link w:val="Heading1Char"/>
    <w:rsid w:val="00D537B0"/>
    <w:pPr>
      <w:spacing w:line="240" w:lineRule="auto"/>
      <w:outlineLvl w:val="0"/>
    </w:pPr>
    <w:rPr>
      <w:rFonts w:ascii="Times New Roman" w:eastAsia="Times New Roman" w:hAnsi="Times New Roman" w:cs="Times New Roman"/>
      <w:b/>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37B0"/>
    <w:rPr>
      <w:rFonts w:ascii="Times New Roman" w:eastAsia="Times New Roman" w:hAnsi="Times New Roman" w:cs="Times New Roman"/>
      <w:b/>
      <w:sz w:val="48"/>
      <w:szCs w:val="48"/>
    </w:rPr>
  </w:style>
  <w:style w:type="paragraph" w:customStyle="1" w:styleId="Normal1">
    <w:name w:val="Normal1"/>
    <w:rsid w:val="00D537B0"/>
    <w:pPr>
      <w:spacing w:after="160" w:line="259" w:lineRule="auto"/>
    </w:pPr>
    <w:rPr>
      <w:rFonts w:ascii="Calibri" w:eastAsia="Calibri" w:hAnsi="Calibri" w:cs="Calibri"/>
    </w:rPr>
  </w:style>
  <w:style w:type="character" w:customStyle="1" w:styleId="gywzne">
    <w:name w:val="gywzne"/>
    <w:basedOn w:val="DefaultParagraphFont"/>
    <w:rsid w:val="00D537B0"/>
  </w:style>
  <w:style w:type="paragraph" w:styleId="ListParagraph">
    <w:name w:val="List Paragraph"/>
    <w:basedOn w:val="Normal"/>
    <w:uiPriority w:val="34"/>
    <w:qFormat/>
    <w:rsid w:val="009F2B36"/>
    <w:pPr>
      <w:ind w:left="720"/>
      <w:contextualSpacing/>
    </w:pPr>
  </w:style>
  <w:style w:type="paragraph" w:styleId="Header">
    <w:name w:val="header"/>
    <w:basedOn w:val="Normal"/>
    <w:link w:val="HeaderChar"/>
    <w:uiPriority w:val="99"/>
    <w:unhideWhenUsed/>
    <w:rsid w:val="00346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183"/>
  </w:style>
  <w:style w:type="paragraph" w:styleId="Footer">
    <w:name w:val="footer"/>
    <w:basedOn w:val="Normal"/>
    <w:link w:val="FooterChar"/>
    <w:uiPriority w:val="99"/>
    <w:unhideWhenUsed/>
    <w:rsid w:val="00346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183"/>
  </w:style>
  <w:style w:type="paragraph" w:styleId="BalloonText">
    <w:name w:val="Balloon Text"/>
    <w:basedOn w:val="Normal"/>
    <w:link w:val="BalloonTextChar"/>
    <w:uiPriority w:val="99"/>
    <w:semiHidden/>
    <w:unhideWhenUsed/>
    <w:rsid w:val="00346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61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764997">
      <w:bodyDiv w:val="1"/>
      <w:marLeft w:val="0"/>
      <w:marRight w:val="0"/>
      <w:marTop w:val="0"/>
      <w:marBottom w:val="0"/>
      <w:divBdr>
        <w:top w:val="none" w:sz="0" w:space="0" w:color="auto"/>
        <w:left w:val="none" w:sz="0" w:space="0" w:color="auto"/>
        <w:bottom w:val="none" w:sz="0" w:space="0" w:color="auto"/>
        <w:right w:val="none" w:sz="0" w:space="0" w:color="auto"/>
      </w:divBdr>
      <w:divsChild>
        <w:div w:id="1684547073">
          <w:marLeft w:val="0"/>
          <w:marRight w:val="0"/>
          <w:marTop w:val="0"/>
          <w:marBottom w:val="0"/>
          <w:divBdr>
            <w:top w:val="none" w:sz="0" w:space="0" w:color="auto"/>
            <w:left w:val="none" w:sz="0" w:space="0" w:color="auto"/>
            <w:bottom w:val="none" w:sz="0" w:space="0" w:color="auto"/>
            <w:right w:val="none" w:sz="0" w:space="0" w:color="auto"/>
          </w:divBdr>
        </w:div>
      </w:divsChild>
    </w:div>
    <w:div w:id="1070497312">
      <w:bodyDiv w:val="1"/>
      <w:marLeft w:val="0"/>
      <w:marRight w:val="0"/>
      <w:marTop w:val="0"/>
      <w:marBottom w:val="0"/>
      <w:divBdr>
        <w:top w:val="none" w:sz="0" w:space="0" w:color="auto"/>
        <w:left w:val="none" w:sz="0" w:space="0" w:color="auto"/>
        <w:bottom w:val="none" w:sz="0" w:space="0" w:color="auto"/>
        <w:right w:val="none" w:sz="0" w:space="0" w:color="auto"/>
      </w:divBdr>
      <w:divsChild>
        <w:div w:id="2140955446">
          <w:marLeft w:val="0"/>
          <w:marRight w:val="0"/>
          <w:marTop w:val="0"/>
          <w:marBottom w:val="0"/>
          <w:divBdr>
            <w:top w:val="none" w:sz="0" w:space="0" w:color="auto"/>
            <w:left w:val="none" w:sz="0" w:space="0" w:color="auto"/>
            <w:bottom w:val="none" w:sz="0" w:space="0" w:color="auto"/>
            <w:right w:val="none" w:sz="0" w:space="0" w:color="auto"/>
          </w:divBdr>
        </w:div>
      </w:divsChild>
    </w:div>
    <w:div w:id="2117097472">
      <w:bodyDiv w:val="1"/>
      <w:marLeft w:val="0"/>
      <w:marRight w:val="0"/>
      <w:marTop w:val="0"/>
      <w:marBottom w:val="0"/>
      <w:divBdr>
        <w:top w:val="none" w:sz="0" w:space="0" w:color="auto"/>
        <w:left w:val="none" w:sz="0" w:space="0" w:color="auto"/>
        <w:bottom w:val="none" w:sz="0" w:space="0" w:color="auto"/>
        <w:right w:val="none" w:sz="0" w:space="0" w:color="auto"/>
      </w:divBdr>
      <w:divsChild>
        <w:div w:id="2122648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2020-10-07T19:53:00Z</dcterms:created>
  <dcterms:modified xsi:type="dcterms:W3CDTF">2020-10-07T19:53:00Z</dcterms:modified>
</cp:coreProperties>
</file>